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FBC" w:rsidRDefault="00795067" w:rsidP="00D3008B">
      <w:pPr>
        <w:pStyle w:val="Proposal"/>
        <w:tabs>
          <w:tab w:val="clear" w:pos="1304"/>
        </w:tabs>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#10</w:t>
      </w:r>
      <w:r>
        <w:rPr>
          <w:rFonts w:ascii="Arial" w:hAnsi="Arial" w:cs="Arial" w:hint="eastAsia"/>
          <w:sz w:val="22"/>
        </w:rPr>
        <w:t>9</w:t>
      </w:r>
      <w:r>
        <w:rPr>
          <w:rFonts w:ascii="Arial" w:hAnsi="Arial" w:cs="Arial"/>
          <w:sz w:val="22"/>
        </w:rPr>
        <w:t>-e</w:t>
      </w:r>
      <w:r>
        <w:rPr>
          <w:rFonts w:ascii="Arial" w:hAnsi="Arial" w:cs="Arial"/>
          <w:sz w:val="22"/>
        </w:rPr>
        <w:tab/>
      </w:r>
      <w:r>
        <w:rPr>
          <w:rFonts w:ascii="Arial" w:hAnsi="Arial" w:cs="Arial"/>
          <w:sz w:val="22"/>
        </w:rPr>
        <w:tab/>
        <w:t xml:space="preserve"> </w:t>
      </w:r>
      <w:r>
        <w:rPr>
          <w:rFonts w:ascii="Arial" w:hAnsi="Arial" w:cs="Arial"/>
          <w:sz w:val="22"/>
        </w:rPr>
        <w:tab/>
        <w:t xml:space="preserve">                                   R1-220</w:t>
      </w:r>
      <w:r>
        <w:rPr>
          <w:rFonts w:ascii="Arial" w:hAnsi="Arial" w:cs="Arial" w:hint="eastAsia"/>
          <w:sz w:val="22"/>
        </w:rPr>
        <w:t>3241</w:t>
      </w:r>
    </w:p>
    <w:p w:rsidR="000A0FBC" w:rsidRDefault="00795067" w:rsidP="00D3008B">
      <w:pPr>
        <w:pStyle w:val="Proposal"/>
        <w:tabs>
          <w:tab w:val="clear" w:pos="1304"/>
        </w:tabs>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May 9</w:t>
      </w:r>
      <w:r>
        <w:rPr>
          <w:rFonts w:ascii="Arial" w:hAnsi="Arial" w:cs="Arial" w:hint="eastAsia"/>
          <w:sz w:val="22"/>
          <w:vertAlign w:val="superscript"/>
        </w:rPr>
        <w:t>th</w:t>
      </w:r>
      <w:r>
        <w:rPr>
          <w:rFonts w:ascii="Arial" w:hAnsi="Arial" w:cs="Arial"/>
          <w:sz w:val="22"/>
        </w:rPr>
        <w:t xml:space="preserve"> –</w:t>
      </w:r>
      <w:r>
        <w:rPr>
          <w:rFonts w:ascii="Arial" w:hAnsi="Arial" w:cs="Arial" w:hint="eastAsia"/>
          <w:sz w:val="22"/>
        </w:rPr>
        <w:t xml:space="preserve"> May 20</w:t>
      </w:r>
      <w:r>
        <w:rPr>
          <w:rFonts w:ascii="Arial" w:hAnsi="Arial" w:cs="Arial" w:hint="eastAsia"/>
          <w:sz w:val="22"/>
          <w:vertAlign w:val="superscript"/>
        </w:rPr>
        <w:t>th</w:t>
      </w:r>
      <w:r>
        <w:rPr>
          <w:rFonts w:ascii="Arial" w:hAnsi="Arial" w:cs="Arial"/>
          <w:sz w:val="22"/>
        </w:rPr>
        <w:t>, 202</w:t>
      </w:r>
      <w:r>
        <w:rPr>
          <w:rFonts w:ascii="Arial" w:hAnsi="Arial" w:cs="Arial" w:hint="eastAsia"/>
          <w:sz w:val="22"/>
        </w:rPr>
        <w:t>2</w:t>
      </w:r>
    </w:p>
    <w:p w:rsidR="000A0FBC" w:rsidRDefault="000A0FBC">
      <w:pPr>
        <w:pStyle w:val="3GPPHeader"/>
        <w:snapToGrid w:val="0"/>
        <w:rPr>
          <w:rFonts w:cs="Arial"/>
          <w:sz w:val="22"/>
        </w:rPr>
      </w:pPr>
    </w:p>
    <w:p w:rsidR="000A0FBC" w:rsidRDefault="00795067" w:rsidP="00D3008B">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rsidR="000A0FBC" w:rsidRDefault="00795067" w:rsidP="00D3008B">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hint="eastAsia"/>
          <w:sz w:val="22"/>
        </w:rPr>
        <w:t>Discussion on disabling of HARQ feedback for IoT-NTN</w:t>
      </w:r>
    </w:p>
    <w:p w:rsidR="000A0FBC" w:rsidRDefault="00795067" w:rsidP="00D3008B">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12.2</w:t>
      </w:r>
    </w:p>
    <w:p w:rsidR="000A0FBC" w:rsidRDefault="001B3914" w:rsidP="00D3008B">
      <w:pPr>
        <w:pBdr>
          <w:bottom w:val="single" w:sz="6" w:space="1" w:color="auto"/>
        </w:pBdr>
        <w:snapToGrid w:val="0"/>
        <w:jc w:val="both"/>
        <w:rPr>
          <w:rFonts w:ascii="Arial" w:hAnsi="Arial"/>
          <w:b/>
        </w:rPr>
      </w:pPr>
      <w:r>
        <w:rPr>
          <w:rFonts w:ascii="Arial" w:hAnsi="Arial"/>
          <w:b/>
        </w:rPr>
        <w:t xml:space="preserve">Document for: </w:t>
      </w:r>
      <w:r w:rsidR="00795067">
        <w:rPr>
          <w:rFonts w:ascii="Arial" w:hAnsi="Arial"/>
          <w:b/>
        </w:rPr>
        <w:t>Discussion</w:t>
      </w:r>
      <w:bookmarkEnd w:id="0"/>
      <w:bookmarkEnd w:id="1"/>
    </w:p>
    <w:p w:rsidR="000A0FBC" w:rsidRDefault="00795067">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0A0FBC" w:rsidRDefault="00795067">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#94e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_Ref32552 \w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Pr>
          <w:rFonts w:ascii="Times New Roman" w:hAnsi="Times New Roman" w:hint="eastAsia"/>
          <w:sz w:val="20"/>
          <w:szCs w:val="20"/>
        </w:rPr>
        <w:t xml:space="preserve"> WID of Rel-18 IoT-NTN was approved and the performance enhancement objective in terms of throughput is listed as below.</w:t>
      </w:r>
    </w:p>
    <w:p w:rsidR="000A0FBC" w:rsidRDefault="00795067">
      <w:pPr>
        <w:numPr>
          <w:ilvl w:val="0"/>
          <w:numId w:val="5"/>
        </w:numPr>
        <w:spacing w:beforeLines="50" w:before="120" w:afterLines="50" w:after="120" w:line="240" w:lineRule="auto"/>
        <w:jc w:val="both"/>
        <w:rPr>
          <w:rFonts w:ascii="Times New Roman" w:hAnsi="Times New Roman"/>
          <w:sz w:val="20"/>
          <w:szCs w:val="20"/>
        </w:rPr>
      </w:pPr>
      <w:r>
        <w:rPr>
          <w:rFonts w:ascii="Times New Roman" w:hAnsi="Times New Roman" w:hint="eastAsia"/>
          <w:sz w:val="20"/>
          <w:szCs w:val="20"/>
        </w:rPr>
        <w:t xml:space="preserve">Disabling of HARQ feedback to mitigate </w:t>
      </w:r>
      <w:r>
        <w:rPr>
          <w:rFonts w:ascii="Times New Roman" w:hAnsi="Times New Roman" w:hint="eastAsia"/>
          <w:sz w:val="20"/>
          <w:szCs w:val="20"/>
        </w:rPr>
        <w:t>impact of HARQ stalling on UE data rates [RAN1,RAN2]</w:t>
      </w:r>
    </w:p>
    <w:p w:rsidR="000A0FBC" w:rsidRDefault="00795067">
      <w:pPr>
        <w:spacing w:beforeLines="50" w:before="120" w:afterLines="50" w:after="120" w:line="240" w:lineRule="auto"/>
        <w:ind w:firstLine="42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above issue is </w:t>
      </w:r>
      <w:r>
        <w:rPr>
          <w:rFonts w:ascii="Times New Roman" w:hAnsi="Times New Roman"/>
          <w:sz w:val="20"/>
          <w:szCs w:val="20"/>
        </w:rPr>
        <w:t xml:space="preserve">elaborated with corresponding analysis. </w:t>
      </w:r>
    </w:p>
    <w:p w:rsidR="000A0FBC" w:rsidRDefault="00795067">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Discussion on HARQ feedback disabling</w:t>
      </w:r>
    </w:p>
    <w:p w:rsidR="000A0FBC" w:rsidRDefault="00795067" w:rsidP="00A0029C">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Rel-17 SI for IoT-NTN, the study to support the HARQ feedback disabling is </w:t>
      </w:r>
      <w:r>
        <w:rPr>
          <w:rFonts w:ascii="Times New Roman" w:eastAsia="宋体" w:hAnsi="Times New Roman" w:cs="Times New Roman"/>
          <w:sz w:val="20"/>
          <w:szCs w:val="20"/>
        </w:rPr>
        <w:t>conducted without normative works in Rel-17 due to the limited time. Similar to the NR-NTN, the benefits for such mechanism is to mitigate the impact of HARQ sta</w:t>
      </w:r>
      <w:r>
        <w:rPr>
          <w:rFonts w:ascii="Times New Roman" w:eastAsia="宋体" w:hAnsi="Times New Roman" w:cs="Times New Roman" w:hint="eastAsia"/>
          <w:sz w:val="20"/>
          <w:szCs w:val="20"/>
        </w:rPr>
        <w:t>l</w:t>
      </w:r>
      <w:r>
        <w:rPr>
          <w:rFonts w:ascii="Times New Roman" w:eastAsia="宋体" w:hAnsi="Times New Roman" w:cs="Times New Roman"/>
          <w:sz w:val="20"/>
          <w:szCs w:val="20"/>
        </w:rPr>
        <w:t>ling with potential improvement on the date rate for IoT case to enable more service</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In this </w:t>
      </w:r>
      <w:r>
        <w:rPr>
          <w:rFonts w:ascii="Times New Roman" w:eastAsia="宋体" w:hAnsi="Times New Roman" w:cs="Times New Roman"/>
          <w:sz w:val="20"/>
          <w:szCs w:val="20"/>
        </w:rPr>
        <w:t xml:space="preserve">release, as shown in the endorsed WI </w:t>
      </w:r>
      <w:r>
        <w:rPr>
          <w:rFonts w:ascii="Times New Roman" w:hAnsi="Times New Roman"/>
          <w:sz w:val="20"/>
          <w:szCs w:val="20"/>
        </w:rPr>
        <w:fldChar w:fldCharType="begin"/>
      </w:r>
      <w:r>
        <w:rPr>
          <w:rFonts w:ascii="Times New Roman" w:hAnsi="Times New Roman"/>
          <w:sz w:val="20"/>
          <w:szCs w:val="20"/>
        </w:rPr>
        <w:instrText xml:space="preserve"> REF _Ref32552 \w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eastAsia="宋体" w:hAnsi="Times New Roman" w:cs="Times New Roman"/>
          <w:sz w:val="20"/>
          <w:szCs w:val="20"/>
        </w:rPr>
        <w:t xml:space="preserve">, specify the mechanism to enable this functionality in IoT-NTN is expected. Regarding on the solutions </w:t>
      </w:r>
      <w:r>
        <w:rPr>
          <w:rFonts w:ascii="Times New Roman" w:eastAsia="宋体" w:hAnsi="Times New Roman" w:cs="Times New Roman" w:hint="eastAsia"/>
          <w:sz w:val="20"/>
          <w:szCs w:val="20"/>
        </w:rPr>
        <w:t>to configure the HARQ feedba</w:t>
      </w:r>
      <w:r>
        <w:rPr>
          <w:rFonts w:ascii="Times New Roman" w:eastAsia="宋体" w:hAnsi="Times New Roman" w:cs="Times New Roman" w:hint="eastAsia"/>
          <w:sz w:val="20"/>
          <w:szCs w:val="20"/>
        </w:rPr>
        <w:t xml:space="preserve">ck enabling/disabling, </w:t>
      </w:r>
      <w:r>
        <w:rPr>
          <w:rFonts w:ascii="Times New Roman" w:eastAsia="宋体" w:hAnsi="Times New Roman" w:cs="Times New Roman"/>
          <w:sz w:val="20"/>
          <w:szCs w:val="20"/>
        </w:rPr>
        <w:t xml:space="preserve">in general, </w:t>
      </w:r>
      <w:r>
        <w:rPr>
          <w:rFonts w:ascii="Times New Roman" w:eastAsia="宋体" w:hAnsi="Times New Roman" w:cs="Times New Roman" w:hint="eastAsia"/>
          <w:sz w:val="20"/>
          <w:szCs w:val="20"/>
        </w:rPr>
        <w:t>following two options can be considered:</w:t>
      </w:r>
    </w:p>
    <w:p w:rsidR="000A0FBC" w:rsidRDefault="00795067" w:rsidP="00A0029C">
      <w:pPr>
        <w:numPr>
          <w:ilvl w:val="0"/>
          <w:numId w:val="6"/>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Option-1: </w:t>
      </w:r>
      <w:r>
        <w:rPr>
          <w:rFonts w:ascii="Times New Roman" w:eastAsia="宋体" w:hAnsi="Times New Roman" w:cs="Times New Roman"/>
          <w:sz w:val="20"/>
          <w:szCs w:val="20"/>
        </w:rPr>
        <w:t>R</w:t>
      </w:r>
      <w:r>
        <w:rPr>
          <w:rFonts w:ascii="Times New Roman" w:eastAsia="宋体" w:hAnsi="Times New Roman" w:cs="Times New Roman" w:hint="eastAsia"/>
          <w:sz w:val="20"/>
          <w:szCs w:val="20"/>
        </w:rPr>
        <w:t>euse the Rel-17 NR-NTN solution for HARQ feedback configuration</w:t>
      </w:r>
    </w:p>
    <w:p w:rsidR="000A0FBC" w:rsidRDefault="00795067" w:rsidP="00A0029C">
      <w:pPr>
        <w:numPr>
          <w:ilvl w:val="0"/>
          <w:numId w:val="6"/>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Option-2: </w:t>
      </w:r>
      <w:r>
        <w:rPr>
          <w:rFonts w:ascii="Times New Roman" w:eastAsia="宋体" w:hAnsi="Times New Roman" w:cs="Times New Roman"/>
          <w:sz w:val="20"/>
          <w:szCs w:val="20"/>
        </w:rPr>
        <w:t>D</w:t>
      </w:r>
      <w:r>
        <w:rPr>
          <w:rFonts w:ascii="Times New Roman" w:eastAsia="宋体" w:hAnsi="Times New Roman" w:cs="Times New Roman" w:hint="eastAsia"/>
          <w:sz w:val="20"/>
          <w:szCs w:val="20"/>
        </w:rPr>
        <w:t>esign additional mechanism to accommodate repetition transmission in IoT-NTN</w:t>
      </w:r>
    </w:p>
    <w:p w:rsidR="000A0FBC" w:rsidRDefault="00795067" w:rsidP="00A0029C">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W.r.t option-1, since disabling of HARQ feedback has already been supported to mitigate the throughput loss caused by HARQ stalling in Rel-17 NR-NTN, the agreed solution can be considered as baseline. For Rel-17 NR-NTN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_Ref1095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there are following agreements for disabling on HARQ feedback (HARQ codebook related agreements are omitted):</w:t>
      </w:r>
    </w:p>
    <w:p w:rsidR="000A0FBC" w:rsidRDefault="00795067" w:rsidP="00A0029C">
      <w:pPr>
        <w:shd w:val="clear" w:color="auto" w:fill="FFFFFF"/>
        <w:spacing w:beforeLines="50" w:before="120" w:afterLines="50" w:after="120" w:line="240" w:lineRule="auto"/>
        <w:ind w:leftChars="200" w:left="440"/>
        <w:rPr>
          <w:rFonts w:ascii="serif" w:eastAsia="serif" w:hAnsi="serif" w:cs="serif"/>
          <w:i/>
          <w:iCs/>
          <w:color w:val="000000"/>
          <w:sz w:val="24"/>
          <w:szCs w:val="24"/>
        </w:rPr>
      </w:pPr>
      <w:r>
        <w:rPr>
          <w:rFonts w:ascii="Times New Roman" w:eastAsia="serif" w:hAnsi="Times New Roman" w:cs="Times New Roman"/>
          <w:b/>
          <w:bCs/>
          <w:i/>
          <w:iCs/>
          <w:color w:val="000000"/>
          <w:sz w:val="20"/>
          <w:szCs w:val="20"/>
          <w:shd w:val="clear" w:color="auto" w:fill="00FF00"/>
          <w:lang w:bidi="ar"/>
        </w:rPr>
        <w:t>Agreement</w:t>
      </w:r>
    </w:p>
    <w:p w:rsidR="000A0FBC" w:rsidRDefault="00795067" w:rsidP="00A0029C">
      <w:pPr>
        <w:numPr>
          <w:ilvl w:val="7"/>
          <w:numId w:val="0"/>
        </w:numPr>
        <w:spacing w:beforeLines="50" w:before="120" w:afterLines="50" w:after="120" w:line="240" w:lineRule="auto"/>
        <w:ind w:leftChars="200" w:left="44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Enabling/disabling on HARQ feedback for downlink transmission should be at least conf</w:t>
      </w:r>
      <w:r>
        <w:rPr>
          <w:rFonts w:ascii="Times New Roman" w:eastAsia="serif" w:hAnsi="Times New Roman" w:cs="Times New Roman"/>
          <w:i/>
          <w:iCs/>
          <w:color w:val="000000"/>
          <w:sz w:val="20"/>
          <w:szCs w:val="20"/>
          <w:shd w:val="clear" w:color="auto" w:fill="FFFFFF"/>
          <w:lang w:bidi="ar"/>
        </w:rPr>
        <w:t>igurable per HARQ process via UE specific RRC signaling</w:t>
      </w:r>
    </w:p>
    <w:p w:rsidR="000A0FBC" w:rsidRDefault="00795067" w:rsidP="00A0029C">
      <w:pPr>
        <w:shd w:val="clear" w:color="auto" w:fill="FFFFFF"/>
        <w:spacing w:beforeLines="50" w:before="120" w:afterLines="50" w:after="120" w:line="240" w:lineRule="auto"/>
        <w:ind w:leftChars="200" w:left="440"/>
        <w:rPr>
          <w:rFonts w:ascii="serif" w:eastAsia="serif" w:hAnsi="serif" w:cs="serif"/>
          <w:i/>
          <w:iCs/>
          <w:color w:val="000000"/>
          <w:sz w:val="24"/>
          <w:szCs w:val="24"/>
        </w:rPr>
      </w:pPr>
      <w:r>
        <w:rPr>
          <w:rFonts w:ascii="Times New Roman" w:eastAsia="serif" w:hAnsi="Times New Roman" w:cs="Times New Roman"/>
          <w:b/>
          <w:bCs/>
          <w:i/>
          <w:iCs/>
          <w:color w:val="000000"/>
          <w:sz w:val="20"/>
          <w:szCs w:val="20"/>
          <w:shd w:val="clear" w:color="auto" w:fill="00FF00"/>
          <w:lang w:bidi="ar"/>
        </w:rPr>
        <w:t>Agreement</w:t>
      </w:r>
    </w:p>
    <w:p w:rsidR="000A0FBC" w:rsidRDefault="00795067" w:rsidP="00A0029C">
      <w:pPr>
        <w:numPr>
          <w:ilvl w:val="7"/>
          <w:numId w:val="0"/>
        </w:numPr>
        <w:spacing w:beforeLines="50" w:before="120" w:afterLines="50" w:after="120" w:line="240" w:lineRule="auto"/>
        <w:ind w:leftChars="200" w:left="44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For a DL HARQ process with disabled HARQ feedback, the UE is not expected to receive another PDSCH or set of slot-aggregated PDSCH scheduled for the given HARQ process that starts until X af</w:t>
      </w:r>
      <w:r>
        <w:rPr>
          <w:rFonts w:ascii="Times New Roman" w:eastAsia="serif" w:hAnsi="Times New Roman" w:cs="Times New Roman"/>
          <w:i/>
          <w:iCs/>
          <w:color w:val="000000"/>
          <w:sz w:val="20"/>
          <w:szCs w:val="20"/>
          <w:shd w:val="clear" w:color="auto" w:fill="FFFFFF"/>
          <w:lang w:bidi="ar"/>
        </w:rPr>
        <w:t>ter the end of the reception of the last PDSCH or slot-aggregated PDSCH for that HARQ process.</w:t>
      </w:r>
    </w:p>
    <w:p w:rsidR="000A0FBC" w:rsidRDefault="00795067" w:rsidP="00A0029C">
      <w:pPr>
        <w:numPr>
          <w:ilvl w:val="0"/>
          <w:numId w:val="7"/>
        </w:numPr>
        <w:spacing w:beforeLines="50" w:before="120" w:afterLines="50" w:after="120" w:line="240" w:lineRule="auto"/>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Working assumption: X = T_proc,1</w:t>
      </w:r>
    </w:p>
    <w:p w:rsidR="000A0FBC" w:rsidRDefault="00795067" w:rsidP="00A0029C">
      <w:pPr>
        <w:numPr>
          <w:ilvl w:val="0"/>
          <w:numId w:val="7"/>
        </w:numPr>
        <w:spacing w:beforeLines="50" w:before="120" w:afterLines="50" w:after="120" w:line="240" w:lineRule="auto"/>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FFS: Whether X should be changed to X = max(T_proc,1, K1) where K1 is the minimum k1 if it is configured, otherwise k1 = 0</w:t>
      </w:r>
    </w:p>
    <w:p w:rsidR="000A0FBC" w:rsidRDefault="00795067" w:rsidP="00A0029C">
      <w:pPr>
        <w:numPr>
          <w:ilvl w:val="0"/>
          <w:numId w:val="7"/>
        </w:numPr>
        <w:spacing w:beforeLines="50" w:before="120" w:afterLines="50" w:after="120" w:line="240" w:lineRule="auto"/>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Note:</w:t>
      </w:r>
      <w:r>
        <w:rPr>
          <w:rFonts w:ascii="Times New Roman" w:eastAsia="serif" w:hAnsi="Times New Roman" w:cs="Times New Roman"/>
          <w:i/>
          <w:iCs/>
          <w:color w:val="000000"/>
          <w:sz w:val="20"/>
          <w:szCs w:val="20"/>
          <w:shd w:val="clear" w:color="auto" w:fill="FFFFFF"/>
          <w:lang w:bidi="ar"/>
        </w:rPr>
        <w:t xml:space="preserve"> The TB of the two PDSCHs can be either same or different</w:t>
      </w:r>
    </w:p>
    <w:p w:rsidR="000A0FBC" w:rsidRDefault="00795067" w:rsidP="00A0029C">
      <w:pPr>
        <w:shd w:val="clear" w:color="auto" w:fill="FFFFFF"/>
        <w:spacing w:beforeLines="50" w:before="120" w:afterLines="50" w:after="120" w:line="240" w:lineRule="auto"/>
        <w:ind w:leftChars="200" w:left="440"/>
        <w:rPr>
          <w:rFonts w:ascii="serif" w:eastAsia="serif" w:hAnsi="serif" w:cs="serif"/>
          <w:i/>
          <w:iCs/>
          <w:color w:val="000000"/>
          <w:sz w:val="24"/>
          <w:szCs w:val="24"/>
        </w:rPr>
      </w:pPr>
      <w:r>
        <w:rPr>
          <w:rFonts w:ascii="Times New Roman" w:eastAsia="serif" w:hAnsi="Times New Roman" w:cs="Times New Roman"/>
          <w:b/>
          <w:bCs/>
          <w:i/>
          <w:iCs/>
          <w:color w:val="000000"/>
          <w:sz w:val="20"/>
          <w:szCs w:val="20"/>
          <w:shd w:val="clear" w:color="auto" w:fill="00FF00"/>
          <w:lang w:bidi="ar"/>
        </w:rPr>
        <w:t>Agreement</w:t>
      </w:r>
    </w:p>
    <w:p w:rsidR="000A0FBC" w:rsidRDefault="00795067" w:rsidP="00A0029C">
      <w:pPr>
        <w:numPr>
          <w:ilvl w:val="7"/>
          <w:numId w:val="0"/>
        </w:numPr>
        <w:spacing w:beforeLines="50" w:before="120" w:afterLines="50" w:after="120" w:line="240" w:lineRule="auto"/>
        <w:ind w:leftChars="200" w:left="44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 xml:space="preserve">Confirm the previous working assumption for X = T_proc,1 where X is defined from the end of the reception of the last PDSCH or slot-aggregated PDSCH for a given HARQ process with disabled </w:t>
      </w:r>
      <w:r>
        <w:rPr>
          <w:rFonts w:ascii="Times New Roman" w:eastAsia="serif" w:hAnsi="Times New Roman" w:cs="Times New Roman"/>
          <w:i/>
          <w:iCs/>
          <w:color w:val="000000"/>
          <w:sz w:val="20"/>
          <w:szCs w:val="20"/>
          <w:shd w:val="clear" w:color="auto" w:fill="FFFFFF"/>
          <w:lang w:bidi="ar"/>
        </w:rPr>
        <w:t>feedback to the start of the PDCCH carrying the DCI scheduling another PDSCH or set of slot-aggregated PDSCH for the given HARQ process.</w:t>
      </w:r>
    </w:p>
    <w:p w:rsidR="000A0FBC" w:rsidRDefault="00795067" w:rsidP="00A0029C">
      <w:pPr>
        <w:shd w:val="clear" w:color="auto" w:fill="FFFFFF"/>
        <w:spacing w:beforeLines="50" w:before="120" w:afterLines="50" w:after="120" w:line="240" w:lineRule="auto"/>
        <w:ind w:leftChars="200" w:left="440"/>
        <w:rPr>
          <w:rFonts w:ascii="Times New Roman" w:eastAsia="serif" w:hAnsi="Times New Roman" w:cs="Times New Roman"/>
          <w:b/>
          <w:bCs/>
          <w:i/>
          <w:iCs/>
          <w:color w:val="000000"/>
          <w:sz w:val="20"/>
          <w:szCs w:val="20"/>
          <w:shd w:val="clear" w:color="auto" w:fill="00FF00"/>
          <w:lang w:bidi="ar"/>
        </w:rPr>
      </w:pPr>
      <w:r>
        <w:rPr>
          <w:rFonts w:ascii="Times New Roman" w:eastAsia="serif" w:hAnsi="Times New Roman" w:cs="Times New Roman"/>
          <w:b/>
          <w:bCs/>
          <w:i/>
          <w:iCs/>
          <w:color w:val="000000"/>
          <w:sz w:val="20"/>
          <w:szCs w:val="20"/>
          <w:shd w:val="clear" w:color="auto" w:fill="00FF00"/>
          <w:lang w:bidi="ar"/>
        </w:rPr>
        <w:t>Agreement</w:t>
      </w:r>
    </w:p>
    <w:p w:rsidR="000A0FBC" w:rsidRDefault="00795067" w:rsidP="00A0029C">
      <w:pPr>
        <w:numPr>
          <w:ilvl w:val="7"/>
          <w:numId w:val="0"/>
        </w:numPr>
        <w:spacing w:beforeLines="50" w:before="120" w:afterLines="50" w:after="120" w:line="240" w:lineRule="auto"/>
        <w:ind w:leftChars="200" w:left="44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lastRenderedPageBreak/>
        <w:t xml:space="preserve">For HARQ feedback of each SPS PDSCH, UE follows the per-process configuration of HARQ feedback </w:t>
      </w:r>
      <w:r>
        <w:rPr>
          <w:rFonts w:ascii="Times New Roman" w:eastAsia="serif" w:hAnsi="Times New Roman" w:cs="Times New Roman"/>
          <w:i/>
          <w:iCs/>
          <w:color w:val="000000"/>
          <w:sz w:val="20"/>
          <w:szCs w:val="20"/>
          <w:shd w:val="clear" w:color="auto" w:fill="FFFFFF"/>
          <w:lang w:bidi="ar"/>
        </w:rPr>
        <w:t>enabled/disabled for the associated HARQ process, except for the first SPS PDSCH after activation if HARQ feedback for SPS activation is additionally enabled.</w:t>
      </w:r>
    </w:p>
    <w:p w:rsidR="000A0FBC" w:rsidRDefault="00795067" w:rsidP="00A0029C">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Based on above agreements, it can be observed that enabling/disabling on HARQ feedback is configu</w:t>
      </w:r>
      <w:r>
        <w:rPr>
          <w:rFonts w:ascii="Times New Roman" w:eastAsia="宋体" w:hAnsi="Times New Roman" w:cs="Times New Roman" w:hint="eastAsia"/>
          <w:sz w:val="20"/>
          <w:szCs w:val="20"/>
        </w:rPr>
        <w:t xml:space="preserve">rable per HARQ process via UE specific RRC signaling in NR-NTN. Moreover, when HARQ feedback is disabled, the enhancement on PDCCH monitoring and SPS activation are also investigated and agreed. The solutions illustrated by the agreements can be reused in </w:t>
      </w:r>
      <w:r>
        <w:rPr>
          <w:rFonts w:ascii="Times New Roman" w:eastAsia="宋体" w:hAnsi="Times New Roman" w:cs="Times New Roman" w:hint="eastAsia"/>
          <w:sz w:val="20"/>
          <w:szCs w:val="20"/>
        </w:rPr>
        <w:t>IoT-NTN with minor revision to accommodate the specification of eMTC and NB-IoT. For example, there is no definition of T_proc,1 in legacy NB-IoT and eMTC as in NR so that the time gap for PDCCH monitoring need to be modified.</w:t>
      </w:r>
    </w:p>
    <w:p w:rsidR="000A0FBC" w:rsidRDefault="00795067" w:rsidP="00A0029C">
      <w:pPr>
        <w:numPr>
          <w:ilvl w:val="3"/>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 </w:t>
      </w:r>
      <w:r>
        <w:rPr>
          <w:rFonts w:ascii="Times New Roman" w:eastAsia="宋体" w:hAnsi="Times New Roman" w:hint="eastAsia"/>
          <w:bCs/>
          <w:i/>
          <w:sz w:val="20"/>
          <w:szCs w:val="20"/>
        </w:rPr>
        <w:t>Consider to reuse</w:t>
      </w:r>
      <w:r>
        <w:rPr>
          <w:rFonts w:ascii="Times New Roman" w:eastAsia="宋体" w:hAnsi="Times New Roman" w:hint="eastAsia"/>
          <w:bCs/>
          <w:i/>
          <w:sz w:val="20"/>
          <w:szCs w:val="20"/>
        </w:rPr>
        <w:t xml:space="preserve"> the HARQ feedback disabling solution agreed in Rel-17 NR-NTN, </w:t>
      </w:r>
      <w:r w:rsidR="00CC4052">
        <w:rPr>
          <w:rFonts w:ascii="Times New Roman" w:eastAsia="宋体" w:hAnsi="Times New Roman"/>
          <w:bCs/>
          <w:i/>
          <w:sz w:val="20"/>
          <w:szCs w:val="20"/>
        </w:rPr>
        <w:t>i.e.</w:t>
      </w:r>
      <w:r>
        <w:rPr>
          <w:rFonts w:ascii="Times New Roman" w:eastAsia="宋体" w:hAnsi="Times New Roman" w:hint="eastAsia"/>
          <w:bCs/>
          <w:i/>
          <w:sz w:val="20"/>
          <w:szCs w:val="20"/>
        </w:rPr>
        <w:t xml:space="preserve">, enabling/disabling on HARQ feedback for downlink transmission is configurable per HARQ process via UE specific RRC signaling. The enhancement on PDCCH monitoring and SPS </w:t>
      </w:r>
      <w:r>
        <w:rPr>
          <w:rFonts w:ascii="Times New Roman" w:eastAsia="宋体" w:hAnsi="Times New Roman" w:cs="Times New Roman" w:hint="eastAsia"/>
          <w:i/>
          <w:sz w:val="20"/>
          <w:szCs w:val="20"/>
        </w:rPr>
        <w:t xml:space="preserve">activation </w:t>
      </w:r>
      <w:r>
        <w:rPr>
          <w:rFonts w:ascii="Times New Roman" w:eastAsia="宋体" w:hAnsi="Times New Roman" w:hint="eastAsia"/>
          <w:bCs/>
          <w:i/>
          <w:sz w:val="20"/>
          <w:szCs w:val="20"/>
        </w:rPr>
        <w:t>may als</w:t>
      </w:r>
      <w:r>
        <w:rPr>
          <w:rFonts w:ascii="Times New Roman" w:eastAsia="宋体" w:hAnsi="Times New Roman" w:hint="eastAsia"/>
          <w:bCs/>
          <w:i/>
          <w:sz w:val="20"/>
          <w:szCs w:val="20"/>
        </w:rPr>
        <w:t>o be reused with minor necessary modification.</w:t>
      </w:r>
    </w:p>
    <w:p w:rsidR="000A0FBC" w:rsidRDefault="00795067" w:rsidP="00A0029C">
      <w:pPr>
        <w:numPr>
          <w:ilvl w:val="3"/>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Although option-1, i.e., reuse Rel-17 NR-NTN solution, can minimize the spec effort, option-2 can also be considered since IoT-NTN has different features compared with NR-NTN. In IoT-NTN, the duration of one </w:t>
      </w:r>
      <w:r>
        <w:rPr>
          <w:rFonts w:ascii="Times New Roman" w:eastAsia="宋体" w:hAnsi="Times New Roman" w:cs="Times New Roman" w:hint="eastAsia"/>
          <w:sz w:val="20"/>
          <w:szCs w:val="20"/>
        </w:rPr>
        <w:t>(N)PDSCH transmission may be long because of the repetitions. For example, for NPDSCH transmission in legacy NB-IoT, the maximum repetition number can be as large as 2048. With maximum repetition number, the duration of one NPDSCH transmission will be long</w:t>
      </w:r>
      <w:r>
        <w:rPr>
          <w:rFonts w:ascii="Times New Roman" w:eastAsia="宋体" w:hAnsi="Times New Roman" w:cs="Times New Roman" w:hint="eastAsia"/>
          <w:sz w:val="20"/>
          <w:szCs w:val="20"/>
        </w:rPr>
        <w:t>er than 2s. While in NTN, the RTT cannot be longer than 600 ms even in GEO scenario. That is, HARQ stalling will not happen if more than one HARQ process are applied and repetition number is very large. Hence, whether to disable HARQ feedback can be determ</w:t>
      </w:r>
      <w:r>
        <w:rPr>
          <w:rFonts w:ascii="Times New Roman" w:eastAsia="宋体" w:hAnsi="Times New Roman" w:cs="Times New Roman" w:hint="eastAsia"/>
          <w:sz w:val="20"/>
          <w:szCs w:val="20"/>
        </w:rPr>
        <w:t>ined by repetition number. For example, a repetition number threshold can be configured to UE. UE and network will achieve consensus on disabling the HARQ feedback when the repetition number is below the threshold since HARQ stalling is more likely to happ</w:t>
      </w:r>
      <w:r>
        <w:rPr>
          <w:rFonts w:ascii="Times New Roman" w:eastAsia="宋体" w:hAnsi="Times New Roman" w:cs="Times New Roman" w:hint="eastAsia"/>
          <w:sz w:val="20"/>
          <w:szCs w:val="20"/>
        </w:rPr>
        <w:t>en. With this method, unnecessary disabling of HARQ feedback can be avoided in time.</w:t>
      </w:r>
    </w:p>
    <w:p w:rsidR="000A0FBC" w:rsidRDefault="00795067" w:rsidP="00A0029C">
      <w:pPr>
        <w:numPr>
          <w:ilvl w:val="3"/>
          <w:numId w:val="0"/>
        </w:numPr>
        <w:spacing w:beforeLines="50" w:before="120" w:afterLines="50" w:after="120" w:line="240" w:lineRule="auto"/>
        <w:ind w:leftChars="200" w:left="440"/>
        <w:rPr>
          <w:rFonts w:ascii="Times New Roman" w:eastAsia="宋体" w:hAnsi="Times New Roman" w:cs="Times New Roman"/>
          <w:i/>
          <w:iCs/>
          <w:color w:val="000000"/>
          <w:sz w:val="20"/>
          <w:szCs w:val="20"/>
          <w:shd w:val="clear" w:color="auto" w:fill="FFFFFF"/>
          <w:lang w:bidi="ar"/>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 </w:t>
      </w:r>
      <w:r>
        <w:rPr>
          <w:rFonts w:ascii="Times New Roman" w:eastAsia="宋体" w:hAnsi="Times New Roman" w:cs="Times New Roman"/>
          <w:i/>
          <w:iCs/>
          <w:color w:val="000000"/>
          <w:sz w:val="20"/>
          <w:szCs w:val="20"/>
          <w:shd w:val="clear" w:color="auto" w:fill="FFFFFF"/>
          <w:lang w:bidi="ar"/>
        </w:rPr>
        <w:t>T</w:t>
      </w:r>
      <w:r>
        <w:rPr>
          <w:rFonts w:ascii="Times New Roman" w:eastAsia="宋体" w:hAnsi="Times New Roman" w:cs="Times New Roman" w:hint="eastAsia"/>
          <w:i/>
          <w:iCs/>
          <w:color w:val="000000"/>
          <w:sz w:val="20"/>
          <w:szCs w:val="20"/>
          <w:shd w:val="clear" w:color="auto" w:fill="FFFFFF"/>
          <w:lang w:bidi="ar"/>
        </w:rPr>
        <w:t xml:space="preserve">he </w:t>
      </w:r>
      <w:r>
        <w:rPr>
          <w:rFonts w:ascii="Times New Roman" w:eastAsia="宋体" w:hAnsi="Times New Roman" w:cs="Times New Roman"/>
          <w:i/>
          <w:iCs/>
          <w:color w:val="000000"/>
          <w:sz w:val="20"/>
          <w:szCs w:val="20"/>
          <w:shd w:val="clear" w:color="auto" w:fill="FFFFFF"/>
          <w:lang w:bidi="ar"/>
        </w:rPr>
        <w:t>enabling/disabling</w:t>
      </w:r>
      <w:r>
        <w:rPr>
          <w:rFonts w:ascii="Times New Roman" w:eastAsia="宋体" w:hAnsi="Times New Roman" w:cs="Times New Roman" w:hint="eastAsia"/>
          <w:i/>
          <w:iCs/>
          <w:color w:val="000000"/>
          <w:sz w:val="20"/>
          <w:szCs w:val="20"/>
          <w:shd w:val="clear" w:color="auto" w:fill="FFFFFF"/>
          <w:lang w:bidi="ar"/>
        </w:rPr>
        <w:t xml:space="preserve"> HARQ feedback </w:t>
      </w:r>
      <w:r>
        <w:rPr>
          <w:rFonts w:ascii="Times New Roman" w:eastAsia="宋体" w:hAnsi="Times New Roman" w:cs="Times New Roman"/>
          <w:i/>
          <w:iCs/>
          <w:color w:val="000000"/>
          <w:sz w:val="20"/>
          <w:szCs w:val="20"/>
          <w:shd w:val="clear" w:color="auto" w:fill="FFFFFF"/>
          <w:lang w:bidi="ar"/>
        </w:rPr>
        <w:t xml:space="preserve">in IoT-NTN </w:t>
      </w:r>
      <w:r>
        <w:rPr>
          <w:rFonts w:ascii="Times New Roman" w:eastAsia="宋体" w:hAnsi="Times New Roman" w:cs="Times New Roman" w:hint="eastAsia"/>
          <w:i/>
          <w:iCs/>
          <w:color w:val="000000"/>
          <w:sz w:val="20"/>
          <w:szCs w:val="20"/>
          <w:shd w:val="clear" w:color="auto" w:fill="FFFFFF"/>
          <w:lang w:bidi="ar"/>
        </w:rPr>
        <w:t xml:space="preserve">based on repetition number </w:t>
      </w:r>
      <w:r>
        <w:rPr>
          <w:rFonts w:ascii="Times New Roman" w:eastAsia="宋体" w:hAnsi="Times New Roman" w:cs="Times New Roman"/>
          <w:i/>
          <w:iCs/>
          <w:color w:val="000000"/>
          <w:sz w:val="20"/>
          <w:szCs w:val="20"/>
          <w:shd w:val="clear" w:color="auto" w:fill="FFFFFF"/>
          <w:lang w:bidi="ar"/>
        </w:rPr>
        <w:t xml:space="preserve">for each </w:t>
      </w:r>
      <w:r>
        <w:rPr>
          <w:rFonts w:ascii="Times New Roman" w:eastAsia="宋体" w:hAnsi="Times New Roman" w:cs="Times New Roman" w:hint="eastAsia"/>
          <w:i/>
          <w:iCs/>
          <w:color w:val="000000"/>
          <w:sz w:val="20"/>
          <w:szCs w:val="20"/>
          <w:shd w:val="clear" w:color="auto" w:fill="FFFFFF"/>
          <w:lang w:bidi="ar"/>
        </w:rPr>
        <w:t>transmission</w:t>
      </w:r>
      <w:r>
        <w:rPr>
          <w:rFonts w:ascii="Times New Roman" w:eastAsia="宋体" w:hAnsi="Times New Roman" w:cs="Times New Roman"/>
          <w:i/>
          <w:iCs/>
          <w:color w:val="000000"/>
          <w:sz w:val="20"/>
          <w:szCs w:val="20"/>
          <w:shd w:val="clear" w:color="auto" w:fill="FFFFFF"/>
          <w:lang w:bidi="ar"/>
        </w:rPr>
        <w:t xml:space="preserve"> </w:t>
      </w:r>
      <w:r w:rsidR="00CC4052">
        <w:rPr>
          <w:rFonts w:ascii="Times New Roman" w:eastAsia="宋体" w:hAnsi="Times New Roman" w:cs="Times New Roman" w:hint="eastAsia"/>
          <w:i/>
          <w:iCs/>
          <w:color w:val="000000"/>
          <w:sz w:val="20"/>
          <w:szCs w:val="20"/>
          <w:shd w:val="clear" w:color="auto" w:fill="FFFFFF"/>
          <w:lang w:bidi="ar"/>
        </w:rPr>
        <w:t>can</w:t>
      </w:r>
      <w:r w:rsidR="00CC4052">
        <w:rPr>
          <w:rFonts w:ascii="Times New Roman" w:eastAsia="宋体" w:hAnsi="Times New Roman" w:cs="Times New Roman"/>
          <w:i/>
          <w:iCs/>
          <w:color w:val="000000"/>
          <w:sz w:val="20"/>
          <w:szCs w:val="20"/>
          <w:shd w:val="clear" w:color="auto" w:fill="FFFFFF"/>
          <w:lang w:bidi="ar"/>
        </w:rPr>
        <w:t xml:space="preserve"> also </w:t>
      </w:r>
      <w:r>
        <w:rPr>
          <w:rFonts w:ascii="Times New Roman" w:eastAsia="宋体" w:hAnsi="Times New Roman" w:cs="Times New Roman"/>
          <w:i/>
          <w:iCs/>
          <w:color w:val="000000"/>
          <w:sz w:val="20"/>
          <w:szCs w:val="20"/>
          <w:shd w:val="clear" w:color="auto" w:fill="FFFFFF"/>
          <w:lang w:bidi="ar"/>
        </w:rPr>
        <w:t>be supported.</w:t>
      </w:r>
    </w:p>
    <w:p w:rsidR="000A0FBC" w:rsidRDefault="00795067">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eastAsia="黑体" w:cs="Times New Roman" w:hint="eastAsia"/>
          <w:b/>
          <w:bCs/>
          <w:sz w:val="28"/>
          <w:szCs w:val="30"/>
          <w:lang w:val="en-US"/>
        </w:rPr>
        <w:t>Reduced NPDCCH/MPDCCH monitoring</w:t>
      </w:r>
    </w:p>
    <w:p w:rsidR="000A0FBC" w:rsidRDefault="00795067">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NTN, the propagation delay can be large because of high </w:t>
      </w:r>
      <w:r>
        <w:rPr>
          <w:rFonts w:ascii="Times New Roman" w:eastAsia="宋体" w:hAnsi="Times New Roman" w:cs="Times New Roman" w:hint="eastAsia"/>
          <w:sz w:val="20"/>
          <w:szCs w:val="20"/>
        </w:rPr>
        <w:t xml:space="preserve">altitude </w:t>
      </w:r>
      <w:r>
        <w:rPr>
          <w:rFonts w:ascii="Times New Roman" w:eastAsia="宋体" w:hAnsi="Times New Roman" w:cs="Times New Roman" w:hint="eastAsia"/>
          <w:sz w:val="20"/>
          <w:szCs w:val="20"/>
        </w:rPr>
        <w:t xml:space="preserve">of the satellite. As a result, when HARQ feedback is enabled, UE may not able to receive the new scheduling information immediately after transmitting HARQ-ACK due to long RTT. In IoT </w:t>
      </w:r>
      <w:r>
        <w:rPr>
          <w:rFonts w:ascii="Times New Roman" w:eastAsia="宋体" w:hAnsi="Times New Roman" w:cs="Times New Roman" w:hint="eastAsia"/>
          <w:sz w:val="20"/>
          <w:szCs w:val="20"/>
        </w:rPr>
        <w:t xml:space="preserve">communication, unnecessary NPDCCH/MPDCCH monitoring should be reduced as much as possible to reduce power consumption. Hence, UE should not monitor NPDCCH/MPDCCH for the given HARQ process until RTT after the </w:t>
      </w:r>
      <w:r w:rsidR="00213BC3">
        <w:rPr>
          <w:rFonts w:ascii="Times New Roman" w:eastAsia="宋体" w:hAnsi="Times New Roman" w:cs="Times New Roman"/>
          <w:sz w:val="20"/>
          <w:szCs w:val="20"/>
        </w:rPr>
        <w:t>transmission</w:t>
      </w:r>
      <w:r>
        <w:rPr>
          <w:rFonts w:ascii="Times New Roman" w:eastAsia="宋体" w:hAnsi="Times New Roman" w:cs="Times New Roman" w:hint="eastAsia"/>
          <w:sz w:val="20"/>
          <w:szCs w:val="20"/>
        </w:rPr>
        <w:t xml:space="preserve"> of HARQ-ACK when HARQ feedback is enab</w:t>
      </w:r>
      <w:r>
        <w:rPr>
          <w:rFonts w:ascii="Times New Roman" w:eastAsia="宋体" w:hAnsi="Times New Roman" w:cs="Times New Roman" w:hint="eastAsia"/>
          <w:sz w:val="20"/>
          <w:szCs w:val="20"/>
        </w:rPr>
        <w:t>led since it is not possible to receive a new scheduling information during this period. While if HARQ feedback is disabled, the monitoring restriction has been discussed in previous section.</w:t>
      </w:r>
    </w:p>
    <w:p w:rsidR="000A0FBC" w:rsidRDefault="00795067">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3: </w:t>
      </w:r>
      <w:r>
        <w:rPr>
          <w:rFonts w:ascii="Times New Roman" w:hAnsi="Times New Roman" w:cs="Times New Roman" w:hint="eastAsia"/>
          <w:i/>
          <w:sz w:val="20"/>
          <w:szCs w:val="20"/>
        </w:rPr>
        <w:t>When HARQ feedback for a HARQ process is enabled, th</w:t>
      </w:r>
      <w:r>
        <w:rPr>
          <w:rFonts w:ascii="Times New Roman" w:hAnsi="Times New Roman" w:cs="Times New Roman" w:hint="eastAsia"/>
          <w:i/>
          <w:sz w:val="20"/>
          <w:szCs w:val="20"/>
        </w:rPr>
        <w:t>e UE is not expected to receive another NPDCCH/MPDCCH carrying a DCI scheduling a NPDSCH/PDSCH scheduled for the given HARQ process that starts until round trip propagation delay after the end of the transmit of HARQ-ACK.</w:t>
      </w:r>
    </w:p>
    <w:p w:rsidR="000A0FBC" w:rsidRDefault="00795067">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0A0FBC" w:rsidRDefault="00795067">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Pr>
          <w:rFonts w:ascii="Times New Roman" w:eastAsia="宋体" w:hAnsi="Times New Roman" w:cs="Times New Roman"/>
          <w:sz w:val="20"/>
          <w:szCs w:val="20"/>
        </w:rPr>
        <w:t xml:space="preserve">analysis on </w:t>
      </w:r>
      <w:r>
        <w:rPr>
          <w:rFonts w:ascii="Times New Roman" w:eastAsia="宋体" w:hAnsi="Times New Roman" w:cs="Times New Roman" w:hint="eastAsia"/>
          <w:sz w:val="20"/>
          <w:szCs w:val="20"/>
        </w:rPr>
        <w:t>HARQ feedback disabling</w:t>
      </w:r>
      <w:r>
        <w:rPr>
          <w:rFonts w:ascii="Times New Roman" w:eastAsia="宋体" w:hAnsi="Times New Roman" w:cs="Times New Roman"/>
          <w:sz w:val="20"/>
          <w:szCs w:val="20"/>
        </w:rPr>
        <w:t xml:space="preserve"> for </w:t>
      </w:r>
      <w:r>
        <w:rPr>
          <w:rFonts w:ascii="Times New Roman" w:eastAsia="宋体" w:hAnsi="Times New Roman" w:cs="Times New Roman" w:hint="eastAsia"/>
          <w:sz w:val="20"/>
          <w:szCs w:val="20"/>
        </w:rPr>
        <w:t>IoT-</w:t>
      </w:r>
      <w:r>
        <w:rPr>
          <w:rFonts w:ascii="Times New Roman" w:eastAsia="宋体" w:hAnsi="Times New Roman" w:cs="Times New Roman"/>
          <w:sz w:val="20"/>
          <w:szCs w:val="20"/>
        </w:rPr>
        <w:t>NTN is conducted with following proposals and observations:</w:t>
      </w:r>
    </w:p>
    <w:p w:rsidR="000A0FBC" w:rsidRDefault="00795067">
      <w:pPr>
        <w:numPr>
          <w:ilvl w:val="3"/>
          <w:numId w:val="0"/>
        </w:numPr>
        <w:spacing w:after="120"/>
        <w:ind w:leftChars="200" w:left="440"/>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 </w:t>
      </w:r>
      <w:r>
        <w:rPr>
          <w:rFonts w:ascii="Times New Roman" w:eastAsia="宋体" w:hAnsi="Times New Roman" w:hint="eastAsia"/>
          <w:bCs/>
          <w:i/>
          <w:sz w:val="20"/>
          <w:szCs w:val="20"/>
        </w:rPr>
        <w:t xml:space="preserve">Consider to reuse the HARQ feedback disabling solution agreed in Rel-17 NR-NTN, </w:t>
      </w:r>
      <w:r w:rsidR="00003D81">
        <w:rPr>
          <w:rFonts w:ascii="Times New Roman" w:eastAsia="宋体" w:hAnsi="Times New Roman"/>
          <w:bCs/>
          <w:i/>
          <w:sz w:val="20"/>
          <w:szCs w:val="20"/>
        </w:rPr>
        <w:t>i.e.</w:t>
      </w:r>
      <w:r>
        <w:rPr>
          <w:rFonts w:ascii="Times New Roman" w:eastAsia="宋体" w:hAnsi="Times New Roman" w:hint="eastAsia"/>
          <w:bCs/>
          <w:i/>
          <w:sz w:val="20"/>
          <w:szCs w:val="20"/>
        </w:rPr>
        <w:t xml:space="preserve">, </w:t>
      </w:r>
      <w:bookmarkStart w:id="3" w:name="_GoBack"/>
      <w:bookmarkEnd w:id="3"/>
      <w:r>
        <w:rPr>
          <w:rFonts w:ascii="Times New Roman" w:eastAsia="宋体" w:hAnsi="Times New Roman" w:hint="eastAsia"/>
          <w:bCs/>
          <w:i/>
          <w:sz w:val="20"/>
          <w:szCs w:val="20"/>
        </w:rPr>
        <w:t>enabling/disabling on HARQ feedback for downlink transm</w:t>
      </w:r>
      <w:r>
        <w:rPr>
          <w:rFonts w:ascii="Times New Roman" w:eastAsia="宋体" w:hAnsi="Times New Roman" w:hint="eastAsia"/>
          <w:bCs/>
          <w:i/>
          <w:sz w:val="20"/>
          <w:szCs w:val="20"/>
        </w:rPr>
        <w:t xml:space="preserve">ission is configurable per HARQ process via UE specific RRC signaling. The enhancement on PDCCH monitoring and SPS </w:t>
      </w:r>
      <w:r>
        <w:rPr>
          <w:rFonts w:ascii="Times New Roman" w:eastAsia="宋体" w:hAnsi="Times New Roman" w:cs="Times New Roman" w:hint="eastAsia"/>
          <w:i/>
          <w:sz w:val="20"/>
          <w:szCs w:val="20"/>
        </w:rPr>
        <w:t xml:space="preserve">activation </w:t>
      </w:r>
      <w:r>
        <w:rPr>
          <w:rFonts w:ascii="Times New Roman" w:eastAsia="宋体" w:hAnsi="Times New Roman" w:hint="eastAsia"/>
          <w:bCs/>
          <w:i/>
          <w:sz w:val="20"/>
          <w:szCs w:val="20"/>
        </w:rPr>
        <w:t>may also be reused with minor necessary modification.</w:t>
      </w:r>
    </w:p>
    <w:p w:rsidR="00CC4052" w:rsidRDefault="00CC4052" w:rsidP="00CC4052">
      <w:pPr>
        <w:numPr>
          <w:ilvl w:val="3"/>
          <w:numId w:val="0"/>
        </w:numPr>
        <w:spacing w:beforeLines="50" w:before="120" w:afterLines="50" w:after="120" w:line="240" w:lineRule="auto"/>
        <w:ind w:leftChars="200" w:left="440"/>
        <w:rPr>
          <w:rFonts w:ascii="Times New Roman" w:eastAsia="宋体" w:hAnsi="Times New Roman" w:cs="Times New Roman"/>
          <w:i/>
          <w:iCs/>
          <w:color w:val="000000"/>
          <w:sz w:val="20"/>
          <w:szCs w:val="20"/>
          <w:shd w:val="clear" w:color="auto" w:fill="FFFFFF"/>
          <w:lang w:bidi="ar"/>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 </w:t>
      </w:r>
      <w:r>
        <w:rPr>
          <w:rFonts w:ascii="Times New Roman" w:eastAsia="宋体" w:hAnsi="Times New Roman" w:cs="Times New Roman"/>
          <w:i/>
          <w:iCs/>
          <w:color w:val="000000"/>
          <w:sz w:val="20"/>
          <w:szCs w:val="20"/>
          <w:shd w:val="clear" w:color="auto" w:fill="FFFFFF"/>
          <w:lang w:bidi="ar"/>
        </w:rPr>
        <w:t>T</w:t>
      </w:r>
      <w:r>
        <w:rPr>
          <w:rFonts w:ascii="Times New Roman" w:eastAsia="宋体" w:hAnsi="Times New Roman" w:cs="Times New Roman" w:hint="eastAsia"/>
          <w:i/>
          <w:iCs/>
          <w:color w:val="000000"/>
          <w:sz w:val="20"/>
          <w:szCs w:val="20"/>
          <w:shd w:val="clear" w:color="auto" w:fill="FFFFFF"/>
          <w:lang w:bidi="ar"/>
        </w:rPr>
        <w:t xml:space="preserve">he </w:t>
      </w:r>
      <w:r>
        <w:rPr>
          <w:rFonts w:ascii="Times New Roman" w:eastAsia="宋体" w:hAnsi="Times New Roman" w:cs="Times New Roman"/>
          <w:i/>
          <w:iCs/>
          <w:color w:val="000000"/>
          <w:sz w:val="20"/>
          <w:szCs w:val="20"/>
          <w:shd w:val="clear" w:color="auto" w:fill="FFFFFF"/>
          <w:lang w:bidi="ar"/>
        </w:rPr>
        <w:t>enabling/disabling</w:t>
      </w:r>
      <w:r>
        <w:rPr>
          <w:rFonts w:ascii="Times New Roman" w:eastAsia="宋体" w:hAnsi="Times New Roman" w:cs="Times New Roman" w:hint="eastAsia"/>
          <w:i/>
          <w:iCs/>
          <w:color w:val="000000"/>
          <w:sz w:val="20"/>
          <w:szCs w:val="20"/>
          <w:shd w:val="clear" w:color="auto" w:fill="FFFFFF"/>
          <w:lang w:bidi="ar"/>
        </w:rPr>
        <w:t xml:space="preserve"> HARQ feedback </w:t>
      </w:r>
      <w:r>
        <w:rPr>
          <w:rFonts w:ascii="Times New Roman" w:eastAsia="宋体" w:hAnsi="Times New Roman" w:cs="Times New Roman"/>
          <w:i/>
          <w:iCs/>
          <w:color w:val="000000"/>
          <w:sz w:val="20"/>
          <w:szCs w:val="20"/>
          <w:shd w:val="clear" w:color="auto" w:fill="FFFFFF"/>
          <w:lang w:bidi="ar"/>
        </w:rPr>
        <w:t xml:space="preserve">in IoT-NTN </w:t>
      </w:r>
      <w:r>
        <w:rPr>
          <w:rFonts w:ascii="Times New Roman" w:eastAsia="宋体" w:hAnsi="Times New Roman" w:cs="Times New Roman" w:hint="eastAsia"/>
          <w:i/>
          <w:iCs/>
          <w:color w:val="000000"/>
          <w:sz w:val="20"/>
          <w:szCs w:val="20"/>
          <w:shd w:val="clear" w:color="auto" w:fill="FFFFFF"/>
          <w:lang w:bidi="ar"/>
        </w:rPr>
        <w:t xml:space="preserve">based on repetition number </w:t>
      </w:r>
      <w:r>
        <w:rPr>
          <w:rFonts w:ascii="Times New Roman" w:eastAsia="宋体" w:hAnsi="Times New Roman" w:cs="Times New Roman"/>
          <w:i/>
          <w:iCs/>
          <w:color w:val="000000"/>
          <w:sz w:val="20"/>
          <w:szCs w:val="20"/>
          <w:shd w:val="clear" w:color="auto" w:fill="FFFFFF"/>
          <w:lang w:bidi="ar"/>
        </w:rPr>
        <w:t xml:space="preserve">for each </w:t>
      </w:r>
      <w:r>
        <w:rPr>
          <w:rFonts w:ascii="Times New Roman" w:eastAsia="宋体" w:hAnsi="Times New Roman" w:cs="Times New Roman" w:hint="eastAsia"/>
          <w:i/>
          <w:iCs/>
          <w:color w:val="000000"/>
          <w:sz w:val="20"/>
          <w:szCs w:val="20"/>
          <w:shd w:val="clear" w:color="auto" w:fill="FFFFFF"/>
          <w:lang w:bidi="ar"/>
        </w:rPr>
        <w:t>transmission</w:t>
      </w:r>
      <w:r>
        <w:rPr>
          <w:rFonts w:ascii="Times New Roman" w:eastAsia="宋体" w:hAnsi="Times New Roman" w:cs="Times New Roman"/>
          <w:i/>
          <w:iCs/>
          <w:color w:val="000000"/>
          <w:sz w:val="20"/>
          <w:szCs w:val="20"/>
          <w:shd w:val="clear" w:color="auto" w:fill="FFFFFF"/>
          <w:lang w:bidi="ar"/>
        </w:rPr>
        <w:t xml:space="preserve"> </w:t>
      </w:r>
      <w:r>
        <w:rPr>
          <w:rFonts w:ascii="Times New Roman" w:eastAsia="宋体" w:hAnsi="Times New Roman" w:cs="Times New Roman" w:hint="eastAsia"/>
          <w:i/>
          <w:iCs/>
          <w:color w:val="000000"/>
          <w:sz w:val="20"/>
          <w:szCs w:val="20"/>
          <w:shd w:val="clear" w:color="auto" w:fill="FFFFFF"/>
          <w:lang w:bidi="ar"/>
        </w:rPr>
        <w:t>can</w:t>
      </w:r>
      <w:r>
        <w:rPr>
          <w:rFonts w:ascii="Times New Roman" w:eastAsia="宋体" w:hAnsi="Times New Roman" w:cs="Times New Roman"/>
          <w:i/>
          <w:iCs/>
          <w:color w:val="000000"/>
          <w:sz w:val="20"/>
          <w:szCs w:val="20"/>
          <w:shd w:val="clear" w:color="auto" w:fill="FFFFFF"/>
          <w:lang w:bidi="ar"/>
        </w:rPr>
        <w:t xml:space="preserve"> also be supported.</w:t>
      </w:r>
    </w:p>
    <w:p w:rsidR="000A0FBC" w:rsidRDefault="00795067">
      <w:pPr>
        <w:numPr>
          <w:ilvl w:val="3"/>
          <w:numId w:val="0"/>
        </w:numPr>
        <w:spacing w:after="120"/>
        <w:ind w:leftChars="200" w:left="440"/>
        <w:rPr>
          <w:rFonts w:ascii="Times New Roman" w:hAnsi="Times New Roman" w:cs="Times New Roman"/>
          <w:i/>
          <w:sz w:val="20"/>
          <w:szCs w:val="20"/>
        </w:rPr>
      </w:pPr>
      <w:r>
        <w:rPr>
          <w:rFonts w:ascii="Times New Roman" w:eastAsia="宋体" w:hAnsi="Times New Roman"/>
          <w:b/>
          <w:i/>
          <w:sz w:val="20"/>
          <w:szCs w:val="20"/>
        </w:rPr>
        <w:lastRenderedPageBreak/>
        <w:t>Proposal</w:t>
      </w:r>
      <w:r>
        <w:rPr>
          <w:rFonts w:ascii="Times New Roman" w:eastAsia="宋体" w:hAnsi="Times New Roman" w:hint="eastAsia"/>
          <w:b/>
          <w:i/>
          <w:sz w:val="20"/>
          <w:szCs w:val="20"/>
        </w:rPr>
        <w:t xml:space="preserve"> 3: </w:t>
      </w:r>
      <w:r>
        <w:rPr>
          <w:rFonts w:ascii="Times New Roman" w:hAnsi="Times New Roman" w:cs="Times New Roman" w:hint="eastAsia"/>
          <w:i/>
          <w:sz w:val="20"/>
          <w:szCs w:val="20"/>
        </w:rPr>
        <w:t>When HARQ feedback for a HARQ process is enabled, the UE is not expected to receive another NPDCCH/MPDCCH carrying a DCI scheduling a NPDSCH/PDSCH scheduled for the given HAR</w:t>
      </w:r>
      <w:r>
        <w:rPr>
          <w:rFonts w:ascii="Times New Roman" w:hAnsi="Times New Roman" w:cs="Times New Roman" w:hint="eastAsia"/>
          <w:i/>
          <w:sz w:val="20"/>
          <w:szCs w:val="20"/>
        </w:rPr>
        <w:t>Q process that starts until round trip propagation delay after the end of the transmit of HARQ-ACK.</w:t>
      </w:r>
    </w:p>
    <w:p w:rsidR="000A0FBC" w:rsidRDefault="00795067">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0A0FBC" w:rsidRDefault="00795067">
      <w:pPr>
        <w:pStyle w:val="ListParagraph1"/>
        <w:numPr>
          <w:ilvl w:val="0"/>
          <w:numId w:val="8"/>
        </w:numPr>
        <w:spacing w:after="0" w:line="240" w:lineRule="auto"/>
        <w:ind w:left="505" w:hanging="505"/>
        <w:rPr>
          <w:rFonts w:ascii="Times New Roman" w:hAnsi="Times New Roman"/>
          <w:sz w:val="20"/>
          <w:szCs w:val="20"/>
        </w:rPr>
      </w:pPr>
      <w:bookmarkStart w:id="4" w:name="_Ref32552"/>
      <w:r>
        <w:rPr>
          <w:rFonts w:ascii="Times New Roman" w:hAnsi="Times New Roman" w:hint="eastAsia"/>
          <w:sz w:val="20"/>
          <w:szCs w:val="20"/>
        </w:rPr>
        <w:t>RP-213596 New WID on IoT NTN enhancements,</w:t>
      </w:r>
      <w:r>
        <w:rPr>
          <w:rFonts w:ascii="Times New Roman" w:hAnsi="Times New Roman"/>
          <w:sz w:val="20"/>
          <w:szCs w:val="20"/>
        </w:rPr>
        <w:t xml:space="preserve"> RAN#</w:t>
      </w:r>
      <w:r>
        <w:rPr>
          <w:rFonts w:ascii="Times New Roman" w:hAnsi="Times New Roman" w:hint="eastAsia"/>
          <w:sz w:val="20"/>
          <w:szCs w:val="20"/>
        </w:rPr>
        <w:t>94e</w:t>
      </w:r>
      <w:bookmarkEnd w:id="4"/>
    </w:p>
    <w:p w:rsidR="000A0FBC" w:rsidRDefault="00795067">
      <w:pPr>
        <w:pStyle w:val="ListParagraph1"/>
        <w:numPr>
          <w:ilvl w:val="0"/>
          <w:numId w:val="8"/>
        </w:numPr>
        <w:spacing w:after="0" w:line="240" w:lineRule="auto"/>
        <w:ind w:left="505" w:hanging="505"/>
        <w:rPr>
          <w:rFonts w:ascii="Times New Roman" w:hAnsi="Times New Roman"/>
          <w:sz w:val="20"/>
          <w:szCs w:val="20"/>
        </w:rPr>
      </w:pPr>
      <w:bookmarkStart w:id="5" w:name="_Ref1095"/>
      <w:r>
        <w:rPr>
          <w:rFonts w:ascii="Times New Roman" w:hAnsi="Times New Roman" w:hint="eastAsia"/>
          <w:sz w:val="20"/>
          <w:szCs w:val="20"/>
        </w:rPr>
        <w:t>R1-2112890 3GPP TSG-RAN WG1 Agreements under 8.4 up to eMeeting RAN1#107-e,</w:t>
      </w:r>
      <w:r>
        <w:rPr>
          <w:rFonts w:ascii="Times New Roman" w:hAnsi="Times New Roman"/>
          <w:sz w:val="20"/>
          <w:szCs w:val="20"/>
        </w:rPr>
        <w:t xml:space="preserve">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107e</w:t>
      </w:r>
      <w:bookmarkEnd w:id="5"/>
    </w:p>
    <w:p w:rsidR="000A0FBC" w:rsidRDefault="000A0FBC">
      <w:pPr>
        <w:pStyle w:val="ListParagraph1"/>
        <w:spacing w:after="0" w:line="240" w:lineRule="auto"/>
        <w:ind w:left="0"/>
        <w:rPr>
          <w:rFonts w:ascii="Times New Roman" w:hAnsi="Times New Roman"/>
          <w:sz w:val="20"/>
          <w:szCs w:val="20"/>
        </w:rPr>
      </w:pPr>
    </w:p>
    <w:p w:rsidR="000A0FBC" w:rsidRDefault="000A0FBC">
      <w:pPr>
        <w:pStyle w:val="ListParagraph1"/>
        <w:numPr>
          <w:ilvl w:val="255"/>
          <w:numId w:val="0"/>
        </w:numPr>
        <w:spacing w:after="0" w:line="20" w:lineRule="exact"/>
        <w:ind w:left="720"/>
        <w:rPr>
          <w:rFonts w:ascii="Times New Roman" w:hAnsi="Times New Roman"/>
          <w:sz w:val="20"/>
          <w:szCs w:val="20"/>
        </w:rPr>
      </w:pPr>
    </w:p>
    <w:sectPr w:rsidR="000A0F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067" w:rsidRDefault="00795067">
      <w:pPr>
        <w:spacing w:line="240" w:lineRule="auto"/>
      </w:pPr>
      <w:r>
        <w:separator/>
      </w:r>
    </w:p>
  </w:endnote>
  <w:endnote w:type="continuationSeparator" w:id="0">
    <w:p w:rsidR="00795067" w:rsidRDefault="007950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067" w:rsidRDefault="00795067">
      <w:pPr>
        <w:spacing w:after="0"/>
      </w:pPr>
      <w:r>
        <w:separator/>
      </w:r>
    </w:p>
  </w:footnote>
  <w:footnote w:type="continuationSeparator" w:id="0">
    <w:p w:rsidR="00795067" w:rsidRDefault="007950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EFB6A8"/>
    <w:multiLevelType w:val="singleLevel"/>
    <w:tmpl w:val="91EFB6A8"/>
    <w:lvl w:ilvl="0">
      <w:start w:val="1"/>
      <w:numFmt w:val="decimal"/>
      <w:suff w:val="space"/>
      <w:lvlText w:val="%1."/>
      <w:lvlJc w:val="left"/>
    </w:lvl>
  </w:abstractNum>
  <w:abstractNum w:abstractNumId="1" w15:restartNumberingAfterBreak="0">
    <w:nsid w:val="AADBEC91"/>
    <w:multiLevelType w:val="multilevel"/>
    <w:tmpl w:val="AADBEC9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2D3079A"/>
    <w:multiLevelType w:val="multilevel"/>
    <w:tmpl w:val="32D3079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2"/>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3D81"/>
    <w:rsid w:val="000046F5"/>
    <w:rsid w:val="00004E88"/>
    <w:rsid w:val="00005B14"/>
    <w:rsid w:val="0000773C"/>
    <w:rsid w:val="00010179"/>
    <w:rsid w:val="00015039"/>
    <w:rsid w:val="00015132"/>
    <w:rsid w:val="000163CA"/>
    <w:rsid w:val="000207B3"/>
    <w:rsid w:val="00021434"/>
    <w:rsid w:val="00021AAE"/>
    <w:rsid w:val="00022E51"/>
    <w:rsid w:val="00022EDE"/>
    <w:rsid w:val="0002404A"/>
    <w:rsid w:val="00024905"/>
    <w:rsid w:val="000255C7"/>
    <w:rsid w:val="00026E46"/>
    <w:rsid w:val="000305EC"/>
    <w:rsid w:val="00031996"/>
    <w:rsid w:val="00031F57"/>
    <w:rsid w:val="0003439E"/>
    <w:rsid w:val="00036AF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49B4"/>
    <w:rsid w:val="0009612B"/>
    <w:rsid w:val="00096412"/>
    <w:rsid w:val="00096975"/>
    <w:rsid w:val="00097080"/>
    <w:rsid w:val="00097C29"/>
    <w:rsid w:val="000A0C3E"/>
    <w:rsid w:val="000A0C91"/>
    <w:rsid w:val="000A0FBC"/>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34A7"/>
    <w:rsid w:val="00136467"/>
    <w:rsid w:val="001366F7"/>
    <w:rsid w:val="00136871"/>
    <w:rsid w:val="001369F6"/>
    <w:rsid w:val="001401D1"/>
    <w:rsid w:val="00140AE4"/>
    <w:rsid w:val="0014136C"/>
    <w:rsid w:val="0014315C"/>
    <w:rsid w:val="001447C9"/>
    <w:rsid w:val="001455B4"/>
    <w:rsid w:val="00145B2C"/>
    <w:rsid w:val="00145BE8"/>
    <w:rsid w:val="001478C9"/>
    <w:rsid w:val="00150658"/>
    <w:rsid w:val="00152B82"/>
    <w:rsid w:val="00152E17"/>
    <w:rsid w:val="00153DFD"/>
    <w:rsid w:val="00157411"/>
    <w:rsid w:val="001637D9"/>
    <w:rsid w:val="00163958"/>
    <w:rsid w:val="00163C43"/>
    <w:rsid w:val="00163E3A"/>
    <w:rsid w:val="001645E4"/>
    <w:rsid w:val="00164C6C"/>
    <w:rsid w:val="00165036"/>
    <w:rsid w:val="00166848"/>
    <w:rsid w:val="00166EF0"/>
    <w:rsid w:val="0016725B"/>
    <w:rsid w:val="00167C34"/>
    <w:rsid w:val="001703CB"/>
    <w:rsid w:val="00170CD6"/>
    <w:rsid w:val="0017178D"/>
    <w:rsid w:val="00172A27"/>
    <w:rsid w:val="00173343"/>
    <w:rsid w:val="00173624"/>
    <w:rsid w:val="00174EE5"/>
    <w:rsid w:val="00176371"/>
    <w:rsid w:val="00176496"/>
    <w:rsid w:val="001767AB"/>
    <w:rsid w:val="00176CE4"/>
    <w:rsid w:val="00177052"/>
    <w:rsid w:val="0018253F"/>
    <w:rsid w:val="00183086"/>
    <w:rsid w:val="0018415A"/>
    <w:rsid w:val="00185634"/>
    <w:rsid w:val="00185B2D"/>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3914"/>
    <w:rsid w:val="001B4A58"/>
    <w:rsid w:val="001B61CA"/>
    <w:rsid w:val="001C3113"/>
    <w:rsid w:val="001C34AE"/>
    <w:rsid w:val="001C4B12"/>
    <w:rsid w:val="001C53EA"/>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3B34"/>
    <w:rsid w:val="00205322"/>
    <w:rsid w:val="00206259"/>
    <w:rsid w:val="00211192"/>
    <w:rsid w:val="00213BC3"/>
    <w:rsid w:val="002150C0"/>
    <w:rsid w:val="00215B4B"/>
    <w:rsid w:val="00215C0C"/>
    <w:rsid w:val="00217CD0"/>
    <w:rsid w:val="00220720"/>
    <w:rsid w:val="00220F13"/>
    <w:rsid w:val="00222B41"/>
    <w:rsid w:val="002239D1"/>
    <w:rsid w:val="002239E2"/>
    <w:rsid w:val="002260BF"/>
    <w:rsid w:val="002277AA"/>
    <w:rsid w:val="00227B9F"/>
    <w:rsid w:val="002300DA"/>
    <w:rsid w:val="00230E2F"/>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575D"/>
    <w:rsid w:val="00295CB2"/>
    <w:rsid w:val="002A03BF"/>
    <w:rsid w:val="002A10AC"/>
    <w:rsid w:val="002A1B43"/>
    <w:rsid w:val="002A2E7B"/>
    <w:rsid w:val="002A3174"/>
    <w:rsid w:val="002A40A7"/>
    <w:rsid w:val="002A431F"/>
    <w:rsid w:val="002A5D5E"/>
    <w:rsid w:val="002A5DBB"/>
    <w:rsid w:val="002A7E58"/>
    <w:rsid w:val="002B15AC"/>
    <w:rsid w:val="002B1AEC"/>
    <w:rsid w:val="002B3F53"/>
    <w:rsid w:val="002B4341"/>
    <w:rsid w:val="002B4354"/>
    <w:rsid w:val="002B5408"/>
    <w:rsid w:val="002B6229"/>
    <w:rsid w:val="002B74B7"/>
    <w:rsid w:val="002C36C2"/>
    <w:rsid w:val="002C37D5"/>
    <w:rsid w:val="002C3C85"/>
    <w:rsid w:val="002C4016"/>
    <w:rsid w:val="002C5BB8"/>
    <w:rsid w:val="002C5C2D"/>
    <w:rsid w:val="002C636A"/>
    <w:rsid w:val="002C7437"/>
    <w:rsid w:val="002D109F"/>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268"/>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645F"/>
    <w:rsid w:val="003D77D6"/>
    <w:rsid w:val="003E10DC"/>
    <w:rsid w:val="003E21E9"/>
    <w:rsid w:val="003E239D"/>
    <w:rsid w:val="003E4FCA"/>
    <w:rsid w:val="003E4FD3"/>
    <w:rsid w:val="003E7670"/>
    <w:rsid w:val="003F097C"/>
    <w:rsid w:val="003F16AA"/>
    <w:rsid w:val="003F2293"/>
    <w:rsid w:val="003F342B"/>
    <w:rsid w:val="003F4AB7"/>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5ED3"/>
    <w:rsid w:val="00536865"/>
    <w:rsid w:val="00541778"/>
    <w:rsid w:val="00541AC2"/>
    <w:rsid w:val="00542F50"/>
    <w:rsid w:val="005434EA"/>
    <w:rsid w:val="0054377D"/>
    <w:rsid w:val="005439BB"/>
    <w:rsid w:val="00544E58"/>
    <w:rsid w:val="00546AA2"/>
    <w:rsid w:val="00547EED"/>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91874"/>
    <w:rsid w:val="00591995"/>
    <w:rsid w:val="00591A9A"/>
    <w:rsid w:val="00591AFC"/>
    <w:rsid w:val="00593A13"/>
    <w:rsid w:val="005942C9"/>
    <w:rsid w:val="00594C6B"/>
    <w:rsid w:val="00595D60"/>
    <w:rsid w:val="00595FF1"/>
    <w:rsid w:val="00596155"/>
    <w:rsid w:val="0059699B"/>
    <w:rsid w:val="00596B55"/>
    <w:rsid w:val="005A44CD"/>
    <w:rsid w:val="005A4AEC"/>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2383"/>
    <w:rsid w:val="006A5005"/>
    <w:rsid w:val="006A770B"/>
    <w:rsid w:val="006A78AB"/>
    <w:rsid w:val="006B11B9"/>
    <w:rsid w:val="006B2BFD"/>
    <w:rsid w:val="006B2F59"/>
    <w:rsid w:val="006B3E7B"/>
    <w:rsid w:val="006B44DE"/>
    <w:rsid w:val="006B68A9"/>
    <w:rsid w:val="006B68BB"/>
    <w:rsid w:val="006C2AFB"/>
    <w:rsid w:val="006C5BED"/>
    <w:rsid w:val="006C6196"/>
    <w:rsid w:val="006C63FA"/>
    <w:rsid w:val="006C79CC"/>
    <w:rsid w:val="006C7C94"/>
    <w:rsid w:val="006D02E7"/>
    <w:rsid w:val="006D2633"/>
    <w:rsid w:val="006D267E"/>
    <w:rsid w:val="006D2F82"/>
    <w:rsid w:val="006D419D"/>
    <w:rsid w:val="006D471A"/>
    <w:rsid w:val="006D5130"/>
    <w:rsid w:val="006D51BF"/>
    <w:rsid w:val="006E381A"/>
    <w:rsid w:val="006E409B"/>
    <w:rsid w:val="006E492C"/>
    <w:rsid w:val="006E56D5"/>
    <w:rsid w:val="006E5A5A"/>
    <w:rsid w:val="006F05F7"/>
    <w:rsid w:val="006F2A5C"/>
    <w:rsid w:val="006F31E9"/>
    <w:rsid w:val="006F4431"/>
    <w:rsid w:val="006F4D00"/>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0D7"/>
    <w:rsid w:val="00725141"/>
    <w:rsid w:val="0072584B"/>
    <w:rsid w:val="00727B0F"/>
    <w:rsid w:val="00727CFC"/>
    <w:rsid w:val="00730673"/>
    <w:rsid w:val="00730741"/>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EB1"/>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FE7"/>
    <w:rsid w:val="007824B2"/>
    <w:rsid w:val="0078257B"/>
    <w:rsid w:val="00782A64"/>
    <w:rsid w:val="0078436A"/>
    <w:rsid w:val="0078446D"/>
    <w:rsid w:val="0078687B"/>
    <w:rsid w:val="00786908"/>
    <w:rsid w:val="0078717C"/>
    <w:rsid w:val="0078758C"/>
    <w:rsid w:val="007907A9"/>
    <w:rsid w:val="007918C5"/>
    <w:rsid w:val="00792482"/>
    <w:rsid w:val="007934C2"/>
    <w:rsid w:val="00794C8F"/>
    <w:rsid w:val="00795067"/>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34730"/>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B0592"/>
    <w:rsid w:val="008B141F"/>
    <w:rsid w:val="008B18D9"/>
    <w:rsid w:val="008B2440"/>
    <w:rsid w:val="008B273D"/>
    <w:rsid w:val="008B2F8C"/>
    <w:rsid w:val="008B3AB6"/>
    <w:rsid w:val="008B4D33"/>
    <w:rsid w:val="008B5145"/>
    <w:rsid w:val="008B550C"/>
    <w:rsid w:val="008B7BC8"/>
    <w:rsid w:val="008C12B2"/>
    <w:rsid w:val="008C3882"/>
    <w:rsid w:val="008C67BD"/>
    <w:rsid w:val="008C694F"/>
    <w:rsid w:val="008C7B46"/>
    <w:rsid w:val="008D1239"/>
    <w:rsid w:val="008D4B23"/>
    <w:rsid w:val="008D54D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10209"/>
    <w:rsid w:val="00917598"/>
    <w:rsid w:val="009175DC"/>
    <w:rsid w:val="00917DC8"/>
    <w:rsid w:val="0092166C"/>
    <w:rsid w:val="00921B3A"/>
    <w:rsid w:val="009222AF"/>
    <w:rsid w:val="00923489"/>
    <w:rsid w:val="009258EB"/>
    <w:rsid w:val="009264C7"/>
    <w:rsid w:val="00926F55"/>
    <w:rsid w:val="00927355"/>
    <w:rsid w:val="00927AD8"/>
    <w:rsid w:val="00927F24"/>
    <w:rsid w:val="00931B4D"/>
    <w:rsid w:val="00933578"/>
    <w:rsid w:val="00933AAB"/>
    <w:rsid w:val="00934843"/>
    <w:rsid w:val="00934E6E"/>
    <w:rsid w:val="00935F25"/>
    <w:rsid w:val="0094282A"/>
    <w:rsid w:val="00942CBD"/>
    <w:rsid w:val="00943D86"/>
    <w:rsid w:val="0094500B"/>
    <w:rsid w:val="00951A21"/>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29C"/>
    <w:rsid w:val="00A00617"/>
    <w:rsid w:val="00A0064F"/>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DD"/>
    <w:rsid w:val="00A25A90"/>
    <w:rsid w:val="00A25CDE"/>
    <w:rsid w:val="00A3094F"/>
    <w:rsid w:val="00A32A62"/>
    <w:rsid w:val="00A32D0C"/>
    <w:rsid w:val="00A3478F"/>
    <w:rsid w:val="00A350E9"/>
    <w:rsid w:val="00A35991"/>
    <w:rsid w:val="00A3612D"/>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0FC9"/>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196"/>
    <w:rsid w:val="00BF3BA4"/>
    <w:rsid w:val="00BF4689"/>
    <w:rsid w:val="00BF5647"/>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3DD4"/>
    <w:rsid w:val="00C85BFF"/>
    <w:rsid w:val="00C873A4"/>
    <w:rsid w:val="00C90EA9"/>
    <w:rsid w:val="00CA0D4F"/>
    <w:rsid w:val="00CA1224"/>
    <w:rsid w:val="00CA1397"/>
    <w:rsid w:val="00CA519E"/>
    <w:rsid w:val="00CA7DE4"/>
    <w:rsid w:val="00CB165F"/>
    <w:rsid w:val="00CB18A2"/>
    <w:rsid w:val="00CB2FE4"/>
    <w:rsid w:val="00CB3621"/>
    <w:rsid w:val="00CB4A68"/>
    <w:rsid w:val="00CC0C01"/>
    <w:rsid w:val="00CC1380"/>
    <w:rsid w:val="00CC4052"/>
    <w:rsid w:val="00CC47FF"/>
    <w:rsid w:val="00CC4B2C"/>
    <w:rsid w:val="00CC7D91"/>
    <w:rsid w:val="00CD0028"/>
    <w:rsid w:val="00CD08DD"/>
    <w:rsid w:val="00CD1A96"/>
    <w:rsid w:val="00CD2824"/>
    <w:rsid w:val="00CD2BB2"/>
    <w:rsid w:val="00CD338F"/>
    <w:rsid w:val="00CD6203"/>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2E57"/>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3502"/>
    <w:rsid w:val="00D237D5"/>
    <w:rsid w:val="00D242BD"/>
    <w:rsid w:val="00D2545E"/>
    <w:rsid w:val="00D256F9"/>
    <w:rsid w:val="00D263F3"/>
    <w:rsid w:val="00D2714E"/>
    <w:rsid w:val="00D3008B"/>
    <w:rsid w:val="00D3123C"/>
    <w:rsid w:val="00D336EC"/>
    <w:rsid w:val="00D3373B"/>
    <w:rsid w:val="00D34071"/>
    <w:rsid w:val="00D34AAF"/>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4314"/>
    <w:rsid w:val="00E46F0A"/>
    <w:rsid w:val="00E5094F"/>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D0581"/>
    <w:rsid w:val="00ED0C20"/>
    <w:rsid w:val="00ED2ACE"/>
    <w:rsid w:val="00ED4BDC"/>
    <w:rsid w:val="00ED4F72"/>
    <w:rsid w:val="00ED76E9"/>
    <w:rsid w:val="00ED7B0C"/>
    <w:rsid w:val="00EE0830"/>
    <w:rsid w:val="00EE121C"/>
    <w:rsid w:val="00EE30ED"/>
    <w:rsid w:val="00EE3525"/>
    <w:rsid w:val="00EE45E3"/>
    <w:rsid w:val="00EE552F"/>
    <w:rsid w:val="00EE6D10"/>
    <w:rsid w:val="00EE6E7F"/>
    <w:rsid w:val="00EF2FF8"/>
    <w:rsid w:val="00EF3AE0"/>
    <w:rsid w:val="00EF3BB3"/>
    <w:rsid w:val="00EF4797"/>
    <w:rsid w:val="00EF4DCD"/>
    <w:rsid w:val="00EF62BF"/>
    <w:rsid w:val="00EF7A2E"/>
    <w:rsid w:val="00F01310"/>
    <w:rsid w:val="00F01BA7"/>
    <w:rsid w:val="00F054DE"/>
    <w:rsid w:val="00F07115"/>
    <w:rsid w:val="00F0753E"/>
    <w:rsid w:val="00F12AD1"/>
    <w:rsid w:val="00F12B9C"/>
    <w:rsid w:val="00F12F07"/>
    <w:rsid w:val="00F14147"/>
    <w:rsid w:val="00F148BE"/>
    <w:rsid w:val="00F15E23"/>
    <w:rsid w:val="00F16AA7"/>
    <w:rsid w:val="00F16E09"/>
    <w:rsid w:val="00F16E34"/>
    <w:rsid w:val="00F17076"/>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1B71"/>
    <w:rsid w:val="00F640C3"/>
    <w:rsid w:val="00F66D50"/>
    <w:rsid w:val="00F674BA"/>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31E77DD"/>
    <w:rsid w:val="032F2A05"/>
    <w:rsid w:val="033D4C36"/>
    <w:rsid w:val="038627B8"/>
    <w:rsid w:val="03CF5743"/>
    <w:rsid w:val="04115339"/>
    <w:rsid w:val="04122769"/>
    <w:rsid w:val="041B3FB5"/>
    <w:rsid w:val="0441000A"/>
    <w:rsid w:val="04424A26"/>
    <w:rsid w:val="04686D89"/>
    <w:rsid w:val="04BC240B"/>
    <w:rsid w:val="04BE3BD3"/>
    <w:rsid w:val="04E57349"/>
    <w:rsid w:val="058F5409"/>
    <w:rsid w:val="05A51DB9"/>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975E0D"/>
    <w:rsid w:val="07FA29C5"/>
    <w:rsid w:val="0806057A"/>
    <w:rsid w:val="084A2556"/>
    <w:rsid w:val="087255D0"/>
    <w:rsid w:val="088E4584"/>
    <w:rsid w:val="08A477F9"/>
    <w:rsid w:val="08D02C41"/>
    <w:rsid w:val="08E73A74"/>
    <w:rsid w:val="08E73F86"/>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100573B4"/>
    <w:rsid w:val="10BE71C3"/>
    <w:rsid w:val="10F61CD8"/>
    <w:rsid w:val="10FB4A31"/>
    <w:rsid w:val="11337EFB"/>
    <w:rsid w:val="115713ED"/>
    <w:rsid w:val="11600A16"/>
    <w:rsid w:val="11707147"/>
    <w:rsid w:val="11761878"/>
    <w:rsid w:val="118A635C"/>
    <w:rsid w:val="11D34FC9"/>
    <w:rsid w:val="124203BC"/>
    <w:rsid w:val="12456039"/>
    <w:rsid w:val="12606FE4"/>
    <w:rsid w:val="126C5962"/>
    <w:rsid w:val="1297438E"/>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AC6797"/>
    <w:rsid w:val="19FE3D52"/>
    <w:rsid w:val="1A182E22"/>
    <w:rsid w:val="1A680331"/>
    <w:rsid w:val="1A7C2890"/>
    <w:rsid w:val="1AA846CB"/>
    <w:rsid w:val="1AA8733D"/>
    <w:rsid w:val="1B0051DB"/>
    <w:rsid w:val="1B1D327A"/>
    <w:rsid w:val="1B324FB0"/>
    <w:rsid w:val="1B5653C7"/>
    <w:rsid w:val="1B807109"/>
    <w:rsid w:val="1B975ED5"/>
    <w:rsid w:val="1BAF2B27"/>
    <w:rsid w:val="1C0A6142"/>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D0173F"/>
    <w:rsid w:val="27DD18F1"/>
    <w:rsid w:val="28163B2C"/>
    <w:rsid w:val="281B2B80"/>
    <w:rsid w:val="28227A69"/>
    <w:rsid w:val="28331906"/>
    <w:rsid w:val="28DC66D6"/>
    <w:rsid w:val="28E6016C"/>
    <w:rsid w:val="28E61363"/>
    <w:rsid w:val="28ED5120"/>
    <w:rsid w:val="28F81A01"/>
    <w:rsid w:val="293C4340"/>
    <w:rsid w:val="29630D60"/>
    <w:rsid w:val="299261A8"/>
    <w:rsid w:val="29976826"/>
    <w:rsid w:val="2A447D96"/>
    <w:rsid w:val="2A484AE4"/>
    <w:rsid w:val="2AA22547"/>
    <w:rsid w:val="2AA27CAB"/>
    <w:rsid w:val="2AA43DF1"/>
    <w:rsid w:val="2B0651FF"/>
    <w:rsid w:val="2B8E3855"/>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2E0A25"/>
    <w:rsid w:val="3E3B24BF"/>
    <w:rsid w:val="3E64265A"/>
    <w:rsid w:val="3E6C3FAF"/>
    <w:rsid w:val="3E8E0FDF"/>
    <w:rsid w:val="3E93172F"/>
    <w:rsid w:val="3EA51E2C"/>
    <w:rsid w:val="3EAC040D"/>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364115"/>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4107D0"/>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CB1184"/>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836079"/>
    <w:rsid w:val="509171DA"/>
    <w:rsid w:val="50CB4649"/>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AE5964"/>
    <w:rsid w:val="53B54782"/>
    <w:rsid w:val="54494545"/>
    <w:rsid w:val="547B4879"/>
    <w:rsid w:val="547E46E1"/>
    <w:rsid w:val="54AA0A30"/>
    <w:rsid w:val="54B00903"/>
    <w:rsid w:val="54CB7EA9"/>
    <w:rsid w:val="54CE6C9B"/>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01866"/>
    <w:rsid w:val="5F3B07DD"/>
    <w:rsid w:val="5F4F7A12"/>
    <w:rsid w:val="5F9C495E"/>
    <w:rsid w:val="5FCA2AA7"/>
    <w:rsid w:val="604C5FB7"/>
    <w:rsid w:val="60A239C9"/>
    <w:rsid w:val="60CB5549"/>
    <w:rsid w:val="60FA6D79"/>
    <w:rsid w:val="610A150D"/>
    <w:rsid w:val="61175A8E"/>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7C7C00"/>
    <w:rsid w:val="668E1C3C"/>
    <w:rsid w:val="66E84324"/>
    <w:rsid w:val="66F44120"/>
    <w:rsid w:val="67321F44"/>
    <w:rsid w:val="67390939"/>
    <w:rsid w:val="676C2CBF"/>
    <w:rsid w:val="67C046AA"/>
    <w:rsid w:val="68791231"/>
    <w:rsid w:val="68812F96"/>
    <w:rsid w:val="688A1D55"/>
    <w:rsid w:val="689D1050"/>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8954B5"/>
    <w:rsid w:val="6BAE42B9"/>
    <w:rsid w:val="6BBD214F"/>
    <w:rsid w:val="6BDF5F4E"/>
    <w:rsid w:val="6BED58AF"/>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BE78CA"/>
    <w:rsid w:val="7AC84DC1"/>
    <w:rsid w:val="7AE64B83"/>
    <w:rsid w:val="7AF42850"/>
    <w:rsid w:val="7B002162"/>
    <w:rsid w:val="7B124FB7"/>
    <w:rsid w:val="7B361A8A"/>
    <w:rsid w:val="7B4D52D4"/>
    <w:rsid w:val="7B83108A"/>
    <w:rsid w:val="7BAE5A06"/>
    <w:rsid w:val="7BDF1C40"/>
    <w:rsid w:val="7BFE2799"/>
    <w:rsid w:val="7CAB63B7"/>
    <w:rsid w:val="7CB818B8"/>
    <w:rsid w:val="7CD50713"/>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5DF5F1-2818-4999-9490-64EC8BBAB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Normal (Web)"/>
    <w:basedOn w:val="a"/>
    <w:qFormat/>
    <w:pPr>
      <w:spacing w:beforeAutospacing="1" w:after="0" w:afterAutospacing="1"/>
    </w:pPr>
    <w:rPr>
      <w:rFonts w:cs="Times New Roman"/>
      <w:sz w:val="24"/>
    </w:rPr>
  </w:style>
  <w:style w:type="paragraph" w:styleId="ab">
    <w:name w:val="annotation subject"/>
    <w:basedOn w:val="a4"/>
    <w:next w:val="a4"/>
    <w:link w:val="Char5"/>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Emphasis"/>
    <w:basedOn w:val="a0"/>
    <w:qFormat/>
    <w:rPr>
      <w:i/>
    </w:rPr>
  </w:style>
  <w:style w:type="character" w:styleId="af">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f0">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b"/>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1">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8D670F-4E1D-4558-96B0-40634AD21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1071</Words>
  <Characters>6106</Characters>
  <Application>Microsoft Office Word</Application>
  <DocSecurity>0</DocSecurity>
  <Lines>50</Lines>
  <Paragraphs>14</Paragraphs>
  <ScaleCrop>false</ScaleCrop>
  <Company/>
  <LinksUpToDate>false</LinksUpToDate>
  <CharactersWithSpaces>7163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 Zhang-ZTE</cp:lastModifiedBy>
  <cp:revision>10</cp:revision>
  <dcterms:created xsi:type="dcterms:W3CDTF">2022-04-21T03:38:00Z</dcterms:created>
  <dcterms:modified xsi:type="dcterms:W3CDTF">2022-04-29T01:17:00Z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